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                                              </w:t>
      </w:r>
    </w:p>
    <w:p>
      <w:pPr>
        <w:spacing w:line="480" w:lineRule="auto"/>
        <w:contextualSpacing/>
        <w:rPr>
          <w:rFonts w:ascii="Times New Roman" w:hAnsi="Times New Roman" w:eastAsia="Times New Roman"/>
          <w:color w:val="000000"/>
          <w:sz w:val="24"/>
          <w:szCs w:val="24"/>
        </w:rPr>
      </w:pPr>
    </w:p>
    <w:p>
      <w:pPr>
        <w:spacing w:line="480" w:lineRule="auto"/>
        <w:contextualSpacing/>
        <w:jc w:val="center"/>
        <w:rPr>
          <w:rFonts w:ascii="Times New Roman" w:hAnsi="Times New Roman" w:eastAsia="Times New Roman"/>
          <w:color w:val="000000"/>
          <w:sz w:val="24"/>
          <w:szCs w:val="24"/>
        </w:rPr>
      </w:pPr>
      <w:r>
        <w:rPr>
          <w:rFonts w:ascii="Times New Roman" w:hAnsi="Times New Roman" w:eastAsia="Times New Roman"/>
          <w:color w:val="000000"/>
          <w:sz w:val="24"/>
          <w:szCs w:val="24"/>
        </w:rPr>
        <w:t>SYMPHONY ORCHESTRA CONCERT</w:t>
      </w:r>
    </w:p>
    <w:p>
      <w:pPr>
        <w:spacing w:line="480" w:lineRule="auto"/>
        <w:contextualSpacing/>
        <w:jc w:val="center"/>
        <w:rPr>
          <w:rFonts w:ascii="Times New Roman" w:hAnsi="Times New Roman" w:eastAsia="Times New Roman"/>
          <w:sz w:val="24"/>
          <w:szCs w:val="24"/>
        </w:rPr>
      </w:pPr>
    </w:p>
    <w:p>
      <w:pPr>
        <w:spacing w:line="480" w:lineRule="auto"/>
        <w:contextualSpacing/>
        <w:jc w:val="center"/>
        <w:rPr>
          <w:rFonts w:ascii="Times New Roman" w:hAnsi="Times New Roman" w:eastAsia="Times New Roman"/>
          <w:sz w:val="24"/>
          <w:szCs w:val="24"/>
        </w:rPr>
      </w:pPr>
    </w:p>
    <w:p>
      <w:pPr>
        <w:spacing w:line="480" w:lineRule="auto"/>
        <w:contextualSpacing/>
        <w:jc w:val="center"/>
        <w:rPr>
          <w:rFonts w:ascii="Times New Roman" w:hAnsi="Times New Roman" w:eastAsia="Times New Roman"/>
          <w:sz w:val="24"/>
          <w:szCs w:val="24"/>
        </w:rPr>
      </w:pPr>
    </w:p>
    <w:p>
      <w:pPr>
        <w:spacing w:line="480" w:lineRule="auto"/>
        <w:contextualSpacing/>
        <w:jc w:val="center"/>
        <w:rPr>
          <w:rFonts w:ascii="Times New Roman" w:hAnsi="Times New Roman" w:eastAsia="Times New Roman"/>
          <w:sz w:val="24"/>
          <w:szCs w:val="24"/>
        </w:rPr>
      </w:pPr>
    </w:p>
    <w:p>
      <w:pPr>
        <w:spacing w:line="480" w:lineRule="auto"/>
        <w:contextualSpacing/>
        <w:jc w:val="center"/>
        <w:rPr>
          <w:rFonts w:hint="default" w:ascii="Times New Roman" w:hAnsi="Times New Roman" w:eastAsia="Times New Roman"/>
          <w:sz w:val="24"/>
          <w:szCs w:val="24"/>
          <w:lang w:val="en-US"/>
        </w:rPr>
      </w:pPr>
      <w:r>
        <w:rPr>
          <w:rFonts w:hint="default" w:ascii="Times New Roman" w:hAnsi="Times New Roman" w:eastAsia="Times New Roman"/>
          <w:sz w:val="24"/>
          <w:szCs w:val="24"/>
          <w:lang w:val="en-US"/>
        </w:rPr>
        <w:t>Zongzhi Cai</w:t>
      </w:r>
    </w:p>
    <w:p>
      <w:pPr>
        <w:spacing w:line="480" w:lineRule="auto"/>
        <w:contextualSpacing/>
        <w:jc w:val="center"/>
        <w:rPr>
          <w:rFonts w:hint="default" w:ascii="Times New Roman" w:hAnsi="Times New Roman" w:eastAsia="Times New Roman"/>
          <w:sz w:val="24"/>
          <w:szCs w:val="24"/>
          <w:lang w:val="en-US"/>
        </w:rPr>
      </w:pPr>
      <w:r>
        <w:rPr>
          <w:rFonts w:hint="default" w:ascii="Times New Roman" w:hAnsi="Times New Roman" w:eastAsia="Times New Roman"/>
          <w:sz w:val="24"/>
          <w:szCs w:val="24"/>
          <w:lang w:val="en-US"/>
        </w:rPr>
        <w:t>IART</w:t>
      </w:r>
    </w:p>
    <w:p>
      <w:pPr>
        <w:spacing w:line="480" w:lineRule="auto"/>
        <w:contextualSpacing/>
        <w:jc w:val="center"/>
        <w:rPr>
          <w:rFonts w:hint="default" w:ascii="Times New Roman" w:hAnsi="Times New Roman" w:eastAsia="Times New Roman"/>
          <w:sz w:val="24"/>
          <w:szCs w:val="24"/>
          <w:lang w:val="en-US"/>
        </w:rPr>
      </w:pPr>
      <w:r>
        <w:rPr>
          <w:rFonts w:hint="default" w:ascii="Times New Roman" w:hAnsi="Times New Roman" w:eastAsia="Times New Roman"/>
          <w:sz w:val="24"/>
          <w:szCs w:val="24"/>
          <w:lang w:val="en-US"/>
        </w:rPr>
        <w:t>10/23/19</w:t>
      </w:r>
    </w:p>
    <w:p>
      <w:pPr>
        <w:spacing w:line="480" w:lineRule="auto"/>
        <w:contextualSpacing/>
        <w:jc w:val="center"/>
        <w:rPr>
          <w:rFonts w:hint="default" w:ascii="Times New Roman" w:hAnsi="Times New Roman" w:eastAsia="Times New Roman"/>
          <w:sz w:val="24"/>
          <w:szCs w:val="24"/>
          <w:lang w:val="en-US"/>
        </w:rPr>
      </w:pPr>
    </w:p>
    <w:p>
      <w:pPr>
        <w:spacing w:line="480" w:lineRule="auto"/>
        <w:contextualSpacing/>
        <w:rPr>
          <w:rFonts w:ascii="Times New Roman" w:hAnsi="Times New Roman" w:eastAsia="Times New Roman"/>
          <w:sz w:val="24"/>
          <w:szCs w:val="24"/>
        </w:rPr>
      </w:pPr>
      <w:r>
        <w:rPr>
          <w:rFonts w:ascii="Times New Roman" w:hAnsi="Times New Roman" w:eastAsia="Times New Roman"/>
          <w:sz w:val="24"/>
          <w:szCs w:val="24"/>
        </w:rPr>
        <w:br w:type="page"/>
      </w:r>
    </w:p>
    <w:p>
      <w:pPr>
        <w:spacing w:line="480" w:lineRule="auto"/>
        <w:contextualSpacing/>
        <w:jc w:val="center"/>
        <w:rPr>
          <w:rFonts w:ascii="Times New Roman" w:hAnsi="Times New Roman" w:eastAsia="Times New Roman"/>
          <w:sz w:val="24"/>
          <w:szCs w:val="24"/>
        </w:rPr>
      </w:pPr>
      <w:r>
        <w:rPr>
          <w:rFonts w:ascii="Times New Roman" w:hAnsi="Times New Roman" w:eastAsia="Times New Roman"/>
          <w:b/>
          <w:color w:val="000000"/>
          <w:sz w:val="24"/>
          <w:szCs w:val="24"/>
        </w:rPr>
        <w:t>Symphony Orchestra Concert</w:t>
      </w:r>
    </w:p>
    <w:p>
      <w:pPr>
        <w:spacing w:line="480" w:lineRule="auto"/>
        <w:contextualSpacing/>
        <w:rPr>
          <w:rFonts w:ascii="Times New Roman" w:hAnsi="Times New Roman" w:eastAsia="Times New Roman"/>
          <w:b/>
          <w:color w:val="000000"/>
          <w:sz w:val="24"/>
          <w:szCs w:val="24"/>
        </w:rPr>
      </w:pPr>
      <w:r>
        <w:rPr>
          <w:rFonts w:ascii="Times New Roman" w:hAnsi="Times New Roman" w:eastAsia="Times New Roman"/>
          <w:b/>
          <w:color w:val="000000"/>
          <w:sz w:val="24"/>
          <w:szCs w:val="24"/>
        </w:rPr>
        <w:t>Introduction</w:t>
      </w:r>
    </w:p>
    <w:p>
      <w:pPr>
        <w:spacing w:line="480" w:lineRule="auto"/>
        <w:ind w:firstLine="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The Symphony Orchestra Concert begins with a string harmony without much reference to the other instruments in the orchestra. There are totally no drums in the first parts of the performance and it unusually starts with the camera being panned upwards as if to capture the stage at an angle without much attention. It is a visibly shaky movement and does not do justice to the emotional element of the performance. From where the camera is placed, the viewer can see the conductor who is placed center stage and can visibly see from a distance that the orchestra's size is much smaller than usual.</w:t>
      </w:r>
    </w:p>
    <w:p>
      <w:pPr>
        <w:spacing w:line="480" w:lineRule="auto"/>
        <w:contextualSpacing/>
        <w:rPr>
          <w:rFonts w:ascii="Times New Roman" w:hAnsi="Times New Roman" w:eastAsia="Times New Roman"/>
          <w:color w:val="000000"/>
          <w:sz w:val="24"/>
          <w:szCs w:val="24"/>
        </w:rPr>
      </w:pPr>
      <w:r>
        <w:rPr>
          <w:rFonts w:ascii="Times New Roman" w:hAnsi="Times New Roman" w:eastAsia="Times New Roman"/>
          <w:b/>
          <w:color w:val="000000"/>
          <w:sz w:val="24"/>
          <w:szCs w:val="24"/>
        </w:rPr>
        <w:t>Discussion</w:t>
      </w:r>
    </w:p>
    <w:p>
      <w:pPr>
        <w:spacing w:line="480" w:lineRule="auto"/>
        <w:ind w:firstLine="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The string section sounds as if it is composed of at most five string instruments including the violin and cello which is clearly heard in the opening parts of the concert.The concert displays elements of the verismo technique which is way different from the opera comique. The variations between the </w:t>
      </w:r>
      <w:r>
        <w:rPr>
          <w:rFonts w:ascii="Times New Roman" w:hAnsi="Times New Roman" w:eastAsia="Times New Roman"/>
          <w:i/>
          <w:color w:val="000000"/>
          <w:sz w:val="24"/>
          <w:szCs w:val="24"/>
        </w:rPr>
        <w:t>verismo</w:t>
      </w:r>
      <w:r>
        <w:rPr>
          <w:rFonts w:ascii="Times New Roman" w:hAnsi="Times New Roman" w:eastAsia="Times New Roman"/>
          <w:color w:val="000000"/>
          <w:sz w:val="24"/>
          <w:szCs w:val="24"/>
        </w:rPr>
        <w:t xml:space="preserve"> and </w:t>
      </w:r>
      <w:r>
        <w:rPr>
          <w:rFonts w:ascii="Times New Roman" w:hAnsi="Times New Roman" w:eastAsia="Times New Roman"/>
          <w:i/>
          <w:color w:val="000000"/>
          <w:sz w:val="24"/>
          <w:szCs w:val="24"/>
        </w:rPr>
        <w:t>opera comique</w:t>
      </w:r>
      <w:r>
        <w:rPr>
          <w:rFonts w:ascii="Times New Roman" w:hAnsi="Times New Roman" w:eastAsia="Times New Roman"/>
          <w:color w:val="000000"/>
          <w:sz w:val="24"/>
          <w:szCs w:val="24"/>
        </w:rPr>
        <w:t xml:space="preserve"> techniques or styles of writing musical operas lies partly in the subject matter with </w:t>
      </w:r>
      <w:r>
        <w:rPr>
          <w:rFonts w:ascii="Times New Roman" w:hAnsi="Times New Roman" w:eastAsia="Times New Roman"/>
          <w:i/>
          <w:color w:val="000000"/>
          <w:sz w:val="24"/>
          <w:szCs w:val="24"/>
        </w:rPr>
        <w:t>verismo</w:t>
      </w:r>
      <w:r>
        <w:rPr>
          <w:rFonts w:ascii="Times New Roman" w:hAnsi="Times New Roman" w:eastAsia="Times New Roman"/>
          <w:color w:val="000000"/>
          <w:sz w:val="24"/>
          <w:szCs w:val="24"/>
        </w:rPr>
        <w:t xml:space="preserve"> emphasizing the use of real identifiable subjects or realism in its compositions</w:t>
      </w:r>
      <w:r>
        <w:rPr>
          <w:rStyle w:val="7"/>
          <w:rFonts w:ascii="Times New Roman" w:hAnsi="Times New Roman" w:eastAsia="Times New Roman"/>
          <w:color w:val="000000"/>
          <w:sz w:val="24"/>
          <w:szCs w:val="24"/>
        </w:rPr>
        <w:footnoteReference w:id="0"/>
      </w:r>
      <w:r>
        <w:rPr>
          <w:rFonts w:ascii="Times New Roman" w:hAnsi="Times New Roman" w:eastAsia="Times New Roman"/>
          <w:color w:val="000000"/>
          <w:sz w:val="24"/>
          <w:szCs w:val="24"/>
        </w:rPr>
        <w:t>. This goes to show that the varying styles of the music in between the period of 1880-1890 was deeply rich in the elements of musical creativity mixed with theatrical elements to produce an opera masterpieces that shaped the course of orchestral and opera music altogether.</w:t>
      </w:r>
    </w:p>
    <w:p>
      <w:pPr>
        <w:spacing w:line="480" w:lineRule="auto"/>
        <w:ind w:firstLine="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In the concert hall the audience which is comprised of a considerable number of young people seems bored and one even yawns before five minutes into the performance. It signifies a disrespectful attitude towards the concert’s art Form and implies the idea of the end of such forms of art. The idea of ‘the end of art’ as we know it has become popular among such radicalistic minds who refute art as part of everyday life, our history, heritage and culture</w:t>
      </w:r>
      <w:r>
        <w:rPr>
          <w:rStyle w:val="7"/>
          <w:rFonts w:ascii="Times New Roman" w:hAnsi="Times New Roman" w:eastAsia="Times New Roman"/>
          <w:color w:val="000000"/>
          <w:sz w:val="24"/>
          <w:szCs w:val="24"/>
        </w:rPr>
        <w:footnoteReference w:id="1"/>
      </w:r>
      <w:r>
        <w:rPr>
          <w:rFonts w:ascii="Times New Roman" w:hAnsi="Times New Roman" w:eastAsia="Times New Roman"/>
          <w:color w:val="000000"/>
          <w:sz w:val="24"/>
          <w:szCs w:val="24"/>
        </w:rPr>
        <w:t>. This kind of judgment however can be applied to all theories, be it creative or otherwise, if they do not put action into practice.</w:t>
      </w:r>
      <w:r>
        <w:rPr>
          <w:rStyle w:val="7"/>
          <w:rFonts w:ascii="Times New Roman" w:hAnsi="Times New Roman" w:eastAsia="Times New Roman"/>
          <w:color w:val="000000"/>
          <w:sz w:val="24"/>
          <w:szCs w:val="24"/>
        </w:rPr>
        <w:footnoteReference w:id="2"/>
      </w:r>
      <w:r>
        <w:rPr>
          <w:rFonts w:ascii="Times New Roman" w:hAnsi="Times New Roman" w:eastAsia="Times New Roman"/>
          <w:color w:val="000000"/>
          <w:sz w:val="24"/>
          <w:szCs w:val="24"/>
        </w:rPr>
        <w:t xml:space="preserve"> Over the past few decades through many artistic milestones, we have come to witness a direct attack on many types of art as a </w:t>
      </w:r>
      <w:r>
        <w:rPr>
          <w:rFonts w:hint="default" w:ascii="Times New Roman" w:hAnsi="Times New Roman" w:eastAsia="Times New Roman"/>
          <w:i w:val="0"/>
          <w:iCs/>
          <w:color w:val="000000"/>
          <w:sz w:val="24"/>
          <w:szCs w:val="24"/>
          <w:lang w:val="en-US"/>
        </w:rPr>
        <w:t>f</w:t>
      </w:r>
      <w:r>
        <w:rPr>
          <w:rFonts w:ascii="Times New Roman" w:hAnsi="Times New Roman" w:eastAsia="Times New Roman"/>
          <w:i w:val="0"/>
          <w:iCs/>
          <w:color w:val="000000"/>
          <w:sz w:val="24"/>
          <w:szCs w:val="24"/>
        </w:rPr>
        <w:t>orm</w:t>
      </w:r>
      <w:r>
        <w:rPr>
          <w:rFonts w:ascii="Times New Roman" w:hAnsi="Times New Roman" w:eastAsia="Times New Roman"/>
          <w:color w:val="000000"/>
          <w:sz w:val="24"/>
          <w:szCs w:val="24"/>
        </w:rPr>
        <w:t>. This is due to among other reasons, the emergence of music of defiance and protest, the drastic political outcry of art forms being simply out of touch with reality or uncouth, or simply unimaginable. The distance between what can be termed as art and what can be termed as real or reality is simply brushed aside or denied. According to these type of mindsets, what is to be regarded as art should be part of everyday life, its institutions, what we consider the norm as regards to work and fun.</w:t>
      </w:r>
    </w:p>
    <w:p>
      <w:pPr>
        <w:spacing w:line="480" w:lineRule="auto"/>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ab/>
      </w:r>
      <w:r>
        <w:rPr>
          <w:rFonts w:ascii="Times New Roman" w:hAnsi="Times New Roman" w:eastAsia="Times New Roman"/>
          <w:color w:val="000000"/>
          <w:sz w:val="24"/>
          <w:szCs w:val="24"/>
        </w:rPr>
        <w:t xml:space="preserve">There are two groups as regards this matter, those who say yes and those who say no. In the concert for example,some of the audience members seem to enjoy the show,especially during the high tempo moments as directed by the conductor. Any person involved in an artistic venture refuse to agree with both reality and art which is unusual. Yet refusing to agree is also agreeing with reality, and these </w:t>
      </w:r>
      <w:bookmarkStart w:id="0" w:name="_GoBack"/>
      <w:bookmarkEnd w:id="0"/>
      <w:r>
        <w:rPr>
          <w:rFonts w:ascii="Times New Roman" w:hAnsi="Times New Roman" w:eastAsia="Times New Roman"/>
          <w:color w:val="000000"/>
          <w:sz w:val="24"/>
          <w:szCs w:val="24"/>
        </w:rPr>
        <w:t>artisans have been oppressed by the harshness of life and the realness of the ghettos some of them have dwelt in</w:t>
      </w:r>
      <w:r>
        <w:rPr>
          <w:rStyle w:val="7"/>
          <w:rFonts w:ascii="Times New Roman" w:hAnsi="Times New Roman" w:eastAsia="Times New Roman"/>
          <w:color w:val="000000"/>
          <w:sz w:val="24"/>
          <w:szCs w:val="24"/>
        </w:rPr>
        <w:footnoteReference w:id="3"/>
      </w:r>
      <w:r>
        <w:rPr>
          <w:rFonts w:ascii="Times New Roman" w:hAnsi="Times New Roman" w:eastAsia="Times New Roman"/>
          <w:color w:val="000000"/>
          <w:sz w:val="24"/>
          <w:szCs w:val="24"/>
        </w:rPr>
        <w:t>. Some are however conscious of the real comforts that life has to offer and thus would not hesitate to compromise art.</w:t>
      </w:r>
    </w:p>
    <w:p>
      <w:pPr>
        <w:spacing w:line="480" w:lineRule="auto"/>
        <w:ind w:firstLine="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Based on what the concert looked like, it has lost ability to connect with the crowd. What is also at the verge of being lost is the vision of a new reality so to speak. A reality that is so unlike this one that even the attempt at speaking about could not encompass its difference. The only ‘true’ way to display this reality that is so different is of course through art. From the point of view of today’s rebellion against art, art itself is also used as a medium and its </w:t>
      </w:r>
      <w:r>
        <w:rPr>
          <w:rFonts w:ascii="Times New Roman" w:hAnsi="Times New Roman" w:eastAsia="Times New Roman"/>
          <w:i/>
          <w:color w:val="000000"/>
          <w:sz w:val="24"/>
          <w:szCs w:val="24"/>
        </w:rPr>
        <w:t xml:space="preserve">Form </w:t>
      </w:r>
      <w:r>
        <w:rPr>
          <w:rFonts w:ascii="Times New Roman" w:hAnsi="Times New Roman" w:eastAsia="Times New Roman"/>
          <w:color w:val="000000"/>
          <w:sz w:val="24"/>
          <w:szCs w:val="24"/>
        </w:rPr>
        <w:t xml:space="preserve">is attacked in the long run. </w:t>
      </w:r>
      <w:r>
        <w:rPr>
          <w:rStyle w:val="7"/>
          <w:rFonts w:ascii="Times New Roman" w:hAnsi="Times New Roman" w:eastAsia="Times New Roman"/>
          <w:color w:val="000000"/>
          <w:sz w:val="24"/>
          <w:szCs w:val="24"/>
        </w:rPr>
        <w:footnoteReference w:id="4"/>
      </w:r>
      <w:r>
        <w:rPr>
          <w:rFonts w:ascii="Times New Roman" w:hAnsi="Times New Roman" w:eastAsia="Times New Roman"/>
          <w:color w:val="000000"/>
          <w:sz w:val="24"/>
          <w:szCs w:val="24"/>
        </w:rPr>
        <w:t xml:space="preserve">This is because even anti-art forms of art that have been used over the centuries essentially get a place or space of respect and influence. This is what art does essentially, it gives one value and adds value to the forms it comes in, and this in turn can be exchanged for other items of value. This element of art as a Form is what is being attacked. </w:t>
      </w:r>
    </w:p>
    <w:p>
      <w:pPr>
        <w:spacing w:line="480" w:lineRule="auto"/>
        <w:contextualSpacing/>
        <w:rPr>
          <w:rFonts w:ascii="Times New Roman" w:hAnsi="Times New Roman" w:eastAsia="Times New Roman"/>
          <w:color w:val="000000"/>
          <w:sz w:val="24"/>
          <w:szCs w:val="24"/>
        </w:rPr>
      </w:pPr>
      <w:r>
        <w:rPr>
          <w:rFonts w:ascii="Times New Roman" w:hAnsi="Times New Roman" w:eastAsia="Times New Roman"/>
          <w:b/>
          <w:color w:val="000000"/>
          <w:sz w:val="24"/>
          <w:szCs w:val="24"/>
        </w:rPr>
        <w:t>Conclusion</w:t>
      </w:r>
    </w:p>
    <w:p>
      <w:pPr>
        <w:spacing w:line="480" w:lineRule="auto"/>
        <w:ind w:firstLine="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The concert depicts this element in the most clear way,judging from the fact that it had to be secretly recorded shows the level of disregard for formal commercial elements and the empty seats in the hall indicate a dissatisfaction or disconnection with local crowds. Another reason may be crowds find such music too fancy but appreciate its art form all the same.</w:t>
      </w: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p>
    <w:p>
      <w:pPr>
        <w:spacing w:line="480" w:lineRule="auto"/>
        <w:contextualSpacing/>
        <w:rPr>
          <w:rFonts w:ascii="Times New Roman" w:hAnsi="Times New Roman" w:eastAsia="Times New Roman"/>
          <w:b/>
          <w:color w:val="000000"/>
          <w:sz w:val="24"/>
          <w:szCs w:val="24"/>
        </w:rPr>
      </w:pPr>
      <w:r>
        <w:rPr>
          <w:rFonts w:ascii="Times New Roman" w:hAnsi="Times New Roman" w:eastAsia="Times New Roman"/>
          <w:b/>
          <w:color w:val="000000"/>
          <w:sz w:val="24"/>
          <w:szCs w:val="24"/>
        </w:rPr>
        <w:t xml:space="preserve">                                                      </w:t>
      </w:r>
    </w:p>
    <w:p>
      <w:pPr>
        <w:rPr>
          <w:rFonts w:ascii="Times New Roman" w:hAnsi="Times New Roman" w:eastAsia="Times New Roman"/>
          <w:b/>
          <w:color w:val="000000"/>
          <w:sz w:val="24"/>
          <w:szCs w:val="24"/>
        </w:rPr>
      </w:pPr>
      <w:r>
        <w:rPr>
          <w:rFonts w:ascii="Times New Roman" w:hAnsi="Times New Roman" w:eastAsia="Times New Roman"/>
          <w:b/>
          <w:color w:val="000000"/>
          <w:sz w:val="24"/>
          <w:szCs w:val="24"/>
        </w:rPr>
        <w:br w:type="page"/>
      </w:r>
    </w:p>
    <w:p>
      <w:pPr>
        <w:spacing w:line="480" w:lineRule="auto"/>
        <w:contextualSpacing/>
        <w:jc w:val="center"/>
        <w:rPr>
          <w:rFonts w:ascii="Times New Roman" w:hAnsi="Times New Roman" w:eastAsia="Times New Roman"/>
          <w:b/>
          <w:color w:val="000000"/>
          <w:sz w:val="24"/>
          <w:szCs w:val="24"/>
        </w:rPr>
      </w:pPr>
      <w:r>
        <w:rPr>
          <w:rFonts w:ascii="Times New Roman" w:hAnsi="Times New Roman" w:eastAsia="Times New Roman"/>
          <w:b/>
          <w:color w:val="000000"/>
          <w:sz w:val="24"/>
          <w:szCs w:val="24"/>
        </w:rPr>
        <w:t>Bibliography</w:t>
      </w:r>
    </w:p>
    <w:p>
      <w:pPr>
        <w:spacing w:line="480" w:lineRule="auto"/>
        <w:ind w:left="720" w:hanging="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Weber, W. (2017). </w:t>
      </w:r>
      <w:r>
        <w:rPr>
          <w:rFonts w:ascii="Times New Roman" w:hAnsi="Times New Roman" w:eastAsia="Times New Roman"/>
          <w:i/>
          <w:color w:val="000000"/>
          <w:sz w:val="24"/>
          <w:szCs w:val="24"/>
        </w:rPr>
        <w:t>Music and the middle class: the social structure of concert life in London, Paris and Vienna between 1830 and 1848</w:t>
      </w:r>
      <w:r>
        <w:rPr>
          <w:rFonts w:ascii="Times New Roman" w:hAnsi="Times New Roman" w:eastAsia="Times New Roman"/>
          <w:color w:val="000000"/>
          <w:sz w:val="24"/>
          <w:szCs w:val="24"/>
        </w:rPr>
        <w:t>. Routledge.</w:t>
      </w:r>
    </w:p>
    <w:p>
      <w:pPr>
        <w:spacing w:line="480" w:lineRule="auto"/>
        <w:ind w:left="720" w:hanging="720"/>
        <w:contextualSpacing/>
        <w:rPr>
          <w:rFonts w:ascii="Times New Roman" w:hAnsi="Times New Roman" w:eastAsia="Times New Roman"/>
          <w:color w:val="000000"/>
          <w:sz w:val="24"/>
          <w:szCs w:val="24"/>
        </w:rPr>
      </w:pPr>
      <w:r>
        <w:rPr>
          <w:rFonts w:ascii="Times New Roman" w:hAnsi="Times New Roman" w:eastAsia="Times New Roman"/>
          <w:color w:val="000000"/>
          <w:sz w:val="24"/>
          <w:szCs w:val="24"/>
        </w:rPr>
        <w:t xml:space="preserve">Burkholder, J. P., &amp; Grout, D. J. (2014). </w:t>
      </w:r>
      <w:r>
        <w:rPr>
          <w:rFonts w:ascii="Times New Roman" w:hAnsi="Times New Roman" w:eastAsia="Times New Roman"/>
          <w:i/>
          <w:color w:val="000000"/>
          <w:sz w:val="24"/>
          <w:szCs w:val="24"/>
        </w:rPr>
        <w:t>A History of Western Music: Ninth International Student Edition</w:t>
      </w:r>
      <w:r>
        <w:rPr>
          <w:rFonts w:ascii="Times New Roman" w:hAnsi="Times New Roman" w:eastAsia="Times New Roman"/>
          <w:color w:val="000000"/>
          <w:sz w:val="24"/>
          <w:szCs w:val="24"/>
        </w:rPr>
        <w:t>. WW Norton &amp; Company.</w:t>
      </w:r>
    </w:p>
    <w:p>
      <w:pPr>
        <w:spacing w:line="480" w:lineRule="auto"/>
        <w:ind w:firstLine="720"/>
        <w:contextualSpacing/>
        <w:rPr>
          <w:rFonts w:ascii="Times New Roman" w:hAnsi="Times New Roman" w:eastAsia="Times New Roman"/>
          <w:color w:val="000000"/>
          <w:sz w:val="24"/>
          <w:szCs w:val="24"/>
        </w:rPr>
      </w:pPr>
    </w:p>
    <w:p>
      <w:pPr>
        <w:spacing w:line="480" w:lineRule="auto"/>
        <w:contextualSpacing/>
        <w:rPr>
          <w:rFonts w:ascii="Times New Roman" w:hAnsi="Times New Roman" w:eastAsia="Times New Roman"/>
          <w:color w:val="000000"/>
          <w:sz w:val="24"/>
          <w:szCs w:val="24"/>
        </w:rPr>
      </w:pPr>
    </w:p>
    <w:p>
      <w:pPr>
        <w:spacing w:line="480" w:lineRule="auto"/>
        <w:ind w:firstLine="720"/>
        <w:contextualSpacing/>
        <w:rPr>
          <w:rFonts w:ascii="Times New Roman" w:hAnsi="Times New Roman" w:eastAsia="Times New Roman"/>
          <w:b/>
          <w:color w:val="000000"/>
          <w:sz w:val="24"/>
          <w:szCs w:val="24"/>
        </w:rPr>
      </w:pPr>
    </w:p>
    <w:sectPr>
      <w:headerReference r:id="rId4" w:type="default"/>
      <w:footerReference r:id="rId5" w:type="default"/>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spacing w:line="480" w:lineRule="auto"/>
        <w:ind w:left="720" w:hanging="720"/>
        <w:contextualSpacing/>
        <w:rPr>
          <w:rFonts w:ascii="Times New Roman" w:hAnsi="Times New Roman" w:eastAsia="Times New Roman"/>
          <w:color w:val="000000"/>
          <w:sz w:val="24"/>
          <w:szCs w:val="24"/>
        </w:rPr>
      </w:pPr>
      <w:r>
        <w:rPr>
          <w:rStyle w:val="7"/>
        </w:rPr>
        <w:footnoteRef/>
      </w:r>
      <w:r>
        <w:t xml:space="preserve"> </w:t>
      </w:r>
      <w:r>
        <w:rPr>
          <w:rFonts w:ascii="Times New Roman" w:hAnsi="Times New Roman" w:eastAsia="Times New Roman"/>
          <w:color w:val="000000"/>
          <w:sz w:val="18"/>
          <w:szCs w:val="24"/>
        </w:rPr>
        <w:t xml:space="preserve">Weber, W. (2017). </w:t>
      </w:r>
      <w:r>
        <w:rPr>
          <w:rFonts w:ascii="Times New Roman" w:hAnsi="Times New Roman" w:eastAsia="Times New Roman"/>
          <w:i w:val="0"/>
          <w:iCs/>
          <w:color w:val="000000"/>
          <w:sz w:val="18"/>
          <w:szCs w:val="24"/>
        </w:rPr>
        <w:t>Music and the middle class: the social structure of concert life in London, Paris and Vienna between 1830 and 1848. Routledge.</w:t>
      </w:r>
    </w:p>
    <w:p>
      <w:pPr>
        <w:pStyle w:val="4"/>
      </w:pPr>
    </w:p>
  </w:footnote>
  <w:footnote w:id="1">
    <w:p>
      <w:pPr>
        <w:pStyle w:val="4"/>
        <w:rPr>
          <w:sz w:val="18"/>
          <w:szCs w:val="18"/>
        </w:rPr>
      </w:pPr>
      <w:r>
        <w:rPr>
          <w:rStyle w:val="7"/>
          <w:sz w:val="18"/>
          <w:szCs w:val="18"/>
        </w:rPr>
        <w:footnoteRef/>
      </w:r>
      <w:r>
        <w:rPr>
          <w:sz w:val="18"/>
          <w:szCs w:val="18"/>
        </w:rPr>
        <w:t xml:space="preserve"> </w:t>
      </w:r>
      <w:r>
        <w:rPr>
          <w:rFonts w:ascii="Times New Roman" w:hAnsi="Times New Roman" w:eastAsia="Times New Roman"/>
          <w:color w:val="000000"/>
          <w:sz w:val="18"/>
          <w:szCs w:val="18"/>
        </w:rPr>
        <w:t>Weber, 2017</w:t>
      </w:r>
    </w:p>
  </w:footnote>
  <w:footnote w:id="2">
    <w:p>
      <w:pPr>
        <w:pStyle w:val="4"/>
        <w:rPr>
          <w:sz w:val="18"/>
          <w:szCs w:val="18"/>
        </w:rPr>
      </w:pPr>
      <w:r>
        <w:rPr>
          <w:rStyle w:val="7"/>
          <w:sz w:val="18"/>
          <w:szCs w:val="18"/>
        </w:rPr>
        <w:footnoteRef/>
      </w:r>
      <w:r>
        <w:rPr>
          <w:sz w:val="18"/>
          <w:szCs w:val="18"/>
        </w:rPr>
        <w:t xml:space="preserve"> </w:t>
      </w:r>
      <w:r>
        <w:rPr>
          <w:rFonts w:ascii="Times New Roman" w:hAnsi="Times New Roman" w:eastAsia="Times New Roman"/>
          <w:color w:val="000000"/>
          <w:sz w:val="18"/>
          <w:szCs w:val="18"/>
        </w:rPr>
        <w:t xml:space="preserve">Burkholder, J. P., &amp; Grout, D. J. (2014). </w:t>
      </w:r>
      <w:r>
        <w:rPr>
          <w:rFonts w:ascii="Times New Roman" w:hAnsi="Times New Roman" w:eastAsia="Times New Roman"/>
          <w:i/>
          <w:color w:val="000000"/>
          <w:sz w:val="18"/>
          <w:szCs w:val="18"/>
        </w:rPr>
        <w:t>A History of Western Music: Ninth International Student Edition</w:t>
      </w:r>
      <w:r>
        <w:rPr>
          <w:rFonts w:ascii="Times New Roman" w:hAnsi="Times New Roman" w:eastAsia="Times New Roman"/>
          <w:color w:val="000000"/>
          <w:sz w:val="18"/>
          <w:szCs w:val="18"/>
        </w:rPr>
        <w:t>. WW Norton &amp; Company.</w:t>
      </w:r>
    </w:p>
  </w:footnote>
  <w:footnote w:id="3">
    <w:p>
      <w:pPr>
        <w:pStyle w:val="4"/>
      </w:pPr>
      <w:r>
        <w:rPr>
          <w:rStyle w:val="7"/>
          <w:sz w:val="18"/>
          <w:szCs w:val="18"/>
        </w:rPr>
        <w:footnoteRef/>
      </w:r>
      <w:r>
        <w:rPr>
          <w:sz w:val="18"/>
          <w:szCs w:val="18"/>
        </w:rPr>
        <w:t xml:space="preserve"> </w:t>
      </w:r>
      <w:r>
        <w:rPr>
          <w:rFonts w:ascii="Times New Roman" w:hAnsi="Times New Roman" w:eastAsia="Times New Roman"/>
          <w:color w:val="000000"/>
          <w:sz w:val="18"/>
          <w:szCs w:val="18"/>
        </w:rPr>
        <w:t>Weber, 2017</w:t>
      </w:r>
    </w:p>
  </w:footnote>
  <w:footnote w:id="4">
    <w:p>
      <w:pPr>
        <w:pStyle w:val="4"/>
      </w:pPr>
      <w:r>
        <w:rPr>
          <w:rStyle w:val="7"/>
        </w:rPr>
        <w:footnoteRef/>
      </w:r>
      <w:r>
        <w:t xml:space="preserve"> </w:t>
      </w:r>
      <w:r>
        <w:rPr>
          <w:rFonts w:ascii="Times New Roman" w:hAnsi="Times New Roman" w:eastAsia="Times New Roman"/>
          <w:color w:val="000000"/>
          <w:sz w:val="18"/>
          <w:szCs w:val="24"/>
        </w:rPr>
        <w:t>Burkholder &amp; Grout,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8625"/>
        <w:tab w:val="clear" w:pos="4680"/>
        <w:tab w:val="clear" w:pos="9360"/>
      </w:tabs>
      <w:contextualSpacing/>
      <w:jc w:val="right"/>
    </w:pPr>
    <w:r>
      <w:fldChar w:fldCharType="begin"/>
    </w:r>
    <w:r>
      <w:instrText xml:space="preserve"> PAGE   \* MERGEFORMAT </w:instrText>
    </w:r>
    <w:r>
      <w:fldChar w:fldCharType="separate"/>
    </w:r>
    <w: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displayHorizontalDrawingGridEvery w:val="0"/>
  <w:displayVerticalDrawingGridEvery w:val="2"/>
  <w:noPunctuationKerning w:val="1"/>
  <w:characterSpacingControl w:val="doNotCompress"/>
  <w:compat>
    <w:compatSetting w:name="compatibilityMode" w:uri="http://schemas.microsoft.com/office/word" w:val="14"/>
  </w:compat>
  <w:rsids>
    <w:rsidRoot w:val="00AE2B58"/>
    <w:rsid w:val="002916B1"/>
    <w:rsid w:val="007B6AA7"/>
    <w:rsid w:val="007C6F10"/>
    <w:rsid w:val="00AE2B58"/>
    <w:rsid w:val="2BDE444A"/>
    <w:rsid w:val="49C6085B"/>
    <w:rsid w:val="4C7C16F6"/>
    <w:rsid w:val="4DAE5103"/>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rPr>
      <w:rFonts w:ascii="Calibri" w:hAnsi="Calibri" w:eastAsia="Calibri" w:cs="Times New Roman"/>
      <w:sz w:val="22"/>
      <w:szCs w:val="22"/>
      <w:lang w:val="en-US" w:eastAsia="en-US"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0"/>
    <w:pPr>
      <w:tabs>
        <w:tab w:val="center" w:pos="4680"/>
        <w:tab w:val="right" w:pos="9360"/>
      </w:tabs>
    </w:pPr>
  </w:style>
  <w:style w:type="paragraph" w:styleId="3">
    <w:name w:val="header"/>
    <w:basedOn w:val="1"/>
    <w:link w:val="9"/>
    <w:unhideWhenUsed/>
    <w:uiPriority w:val="0"/>
    <w:pPr>
      <w:tabs>
        <w:tab w:val="center" w:pos="4680"/>
        <w:tab w:val="right" w:pos="9360"/>
      </w:tabs>
    </w:pPr>
  </w:style>
  <w:style w:type="paragraph" w:styleId="4">
    <w:name w:val="footnote text"/>
    <w:basedOn w:val="1"/>
    <w:link w:val="11"/>
    <w:semiHidden/>
    <w:unhideWhenUsed/>
    <w:uiPriority w:val="99"/>
    <w:rPr>
      <w:sz w:val="20"/>
      <w:szCs w:val="20"/>
    </w:rPr>
  </w:style>
  <w:style w:type="character" w:styleId="7">
    <w:name w:val="footnote reference"/>
    <w:basedOn w:val="6"/>
    <w:semiHidden/>
    <w:unhideWhenUsed/>
    <w:uiPriority w:val="99"/>
    <w:rPr>
      <w:vertAlign w:val="superscript"/>
    </w:rPr>
  </w:style>
  <w:style w:type="paragraph" w:styleId="8">
    <w:name w:val="No Spacing"/>
    <w:qFormat/>
    <w:uiPriority w:val="5"/>
    <w:rPr>
      <w:rFonts w:ascii="Calibri" w:hAnsi="Calibri" w:eastAsia="Calibri" w:cs="Times New Roman"/>
      <w:sz w:val="22"/>
      <w:szCs w:val="22"/>
      <w:lang w:val="en-US" w:eastAsia="en-US" w:bidi="ar-SA"/>
    </w:rPr>
  </w:style>
  <w:style w:type="character" w:customStyle="1" w:styleId="9">
    <w:name w:val="Header Char"/>
    <w:basedOn w:val="6"/>
    <w:link w:val="3"/>
    <w:uiPriority w:val="0"/>
  </w:style>
  <w:style w:type="character" w:customStyle="1" w:styleId="10">
    <w:name w:val="Footer Char"/>
    <w:basedOn w:val="6"/>
    <w:link w:val="2"/>
    <w:uiPriority w:val="0"/>
  </w:style>
  <w:style w:type="character" w:customStyle="1" w:styleId="11">
    <w:name w:val="Footnote Text Char"/>
    <w:basedOn w:val="6"/>
    <w:link w:val="4"/>
    <w:semiHidden/>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4DB8BE-68B7-49F2-BA48-2282374A3CA0}">
  <ds:schemaRefs/>
</ds:datastoreItem>
</file>

<file path=docProps/app.xml><?xml version="1.0" encoding="utf-8"?>
<Properties xmlns="http://schemas.openxmlformats.org/officeDocument/2006/extended-properties" xmlns:vt="http://schemas.openxmlformats.org/officeDocument/2006/docPropsVTypes">
  <Template>Normal</Template>
  <Pages>5</Pages>
  <Words>743</Words>
  <Characters>4237</Characters>
  <Lines>35</Lines>
  <Paragraphs>9</Paragraphs>
  <TotalTime>11</TotalTime>
  <ScaleCrop>false</ScaleCrop>
  <LinksUpToDate>false</LinksUpToDate>
  <CharactersWithSpaces>4971</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2019-10-23T19:11:00Z</dcterms:created>
  <dc:creator>HP</dc:creator>
  <cp:lastModifiedBy>  Bilippar.</cp:lastModifiedBy>
  <dcterms:modified xsi:type="dcterms:W3CDTF">2019-10-24T01:20:48Z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